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STATE BOARD OF ELECTION SUPERVISORS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trike w:val="1"/>
          <w:color w:val="ff0000"/>
          <w:sz w:val="28"/>
          <w:szCs w:val="28"/>
          <w:rtl w:val="0"/>
        </w:rPr>
        <w:t xml:space="preserve">Preliminary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Notice and Agenda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Thursday, January 28, 2021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10:00 a.m.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Via Video Conference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Link to Meeting: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Insert here: 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Instructions for viewing meeting and public comment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attached.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 to Order and Roll call.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Certification Pursuant to La. R.S. 42:17.1 (Act No. 302, 2020 Regular Legislative Session)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Adoption of minutes – January 22, 2020 meeting.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business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 of proposed legislation for the 2021 Regular Session of the Louisiana Legislature.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Adjourn.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questions regarding the State Board of Election Supervisors Meeting, please contact Tricia Daigle at the Secretary of State’s Office at (225) 287-7477. Comments may be submitted electronically to patricia.daigle@sos.la.gov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65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4"/>
        <w:szCs w:val="24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32"/>
        <w:szCs w:val="32"/>
        <w:rtl w:val="0"/>
      </w:rPr>
      <w:t xml:space="preserve">Secretary of State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101600</wp:posOffset>
              </wp:positionV>
              <wp:extent cx="255270" cy="24574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3128" y="3661890"/>
                        <a:ext cx="2457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101600</wp:posOffset>
              </wp:positionV>
              <wp:extent cx="255270" cy="245745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" cy="245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8"/>
        <w:szCs w:val="28"/>
        <w:rtl w:val="0"/>
      </w:rPr>
      <w:t xml:space="preserve">State of Louisiana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0"/>
        <w:szCs w:val="20"/>
        <w:rtl w:val="0"/>
      </w:rPr>
      <w:t xml:space="preserve">R. Kyle Ardoin</w:t>
    </w:r>
  </w:p>
  <w:p w:rsidR="00000000" w:rsidDel="00000000" w:rsidP="00000000" w:rsidRDefault="00000000" w:rsidRPr="00000000" w14:paraId="00000022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0"/>
        <w:szCs w:val="20"/>
        <w:rtl w:val="0"/>
      </w:rPr>
      <w:t xml:space="preserve">Secretary of State</w:t>
    </w:r>
  </w:p>
  <w:p w:rsidR="00000000" w:rsidDel="00000000" w:rsidP="00000000" w:rsidRDefault="00000000" w:rsidRPr="00000000" w14:paraId="00000023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  <w:rtl w:val="0"/>
      </w:rPr>
      <w:br w:type="textWrapping"/>
      <w:br w:type="textWrapping"/>
      <w:br w:type="textWrapping"/>
      <w:br w:type="textWrapping"/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drawing>
        <wp:inline distB="0" distT="0" distL="0" distR="0">
          <wp:extent cx="809625" cy="819150"/>
          <wp:effectExtent b="0" l="0" r="0" t="0"/>
          <wp:docPr descr="SecretaryofStateSealColor01" id="7" name="image1.png"/>
          <a:graphic>
            <a:graphicData uri="http://schemas.openxmlformats.org/drawingml/2006/picture">
              <pic:pic>
                <pic:nvPicPr>
                  <pic:cNvPr descr="SecretaryofStateSealColor01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0"/>
        <w:szCs w:val="20"/>
        <w:rtl w:val="0"/>
      </w:rPr>
      <w:t xml:space="preserve">P.O. Box 94125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0"/>
        <w:szCs w:val="20"/>
        <w:rtl w:val="0"/>
      </w:rPr>
      <w:t xml:space="preserve">Baton Rouge, LA 70804-9125</w:t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Libre Baskerville" w:cs="Libre Baskerville" w:eastAsia="Libre Baskerville" w:hAnsi="Libre Baskerville"/>
        <w:smallCaps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mallCaps w:val="1"/>
        <w:sz w:val="20"/>
        <w:szCs w:val="20"/>
        <w:rtl w:val="0"/>
      </w:rPr>
      <w:t xml:space="preserve">225.922.2880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680"/>
        <w:tab w:val="right" w:pos="9360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5CBC"/>
  </w:style>
  <w:style w:type="paragraph" w:styleId="Footer">
    <w:name w:val="footer"/>
    <w:basedOn w:val="Normal"/>
    <w:link w:val="FooterChar"/>
    <w:uiPriority w:val="99"/>
    <w:unhideWhenUsed w:val="1"/>
    <w:rsid w:val="00A15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5CBC"/>
  </w:style>
  <w:style w:type="paragraph" w:styleId="DefaultText" w:customStyle="1">
    <w:name w:val="Default Text"/>
    <w:basedOn w:val="Normal"/>
    <w:rsid w:val="00A15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1oAR5kOigsAJXzQwZB12CVdLA==">AMUW2mVGpxRDZ9XRqDmJaRXR/pQEo6fIAGQHylOocRAJ96wQ2AUaLSJlXaFCirVP+k5wtZCAFWBycj216OWjmL25rro+Kgyxj8fLIsAp2OjNEfFSXk2/h1Ix/ZroUpnq71cTEA/zAOZo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2021-01-15T21:23:00Z</dcterms:created>
  <dc:creator>Ray Wood</dc:creator>
</cp:coreProperties>
</file>